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81049EC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B72E9C" w:rsidRPr="00B72E9C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PROFESIONISTA ESPECIALIZADO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3C2156A7" w:rsidR="00E325BE" w:rsidRPr="00E325BE" w:rsidRDefault="00E325BE" w:rsidP="00B72E9C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E28DB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EE28DB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52515E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EE28DB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EE28DB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E3250" w:rsidRPr="00EE28D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B72E9C">
              <w:t>Elaborar y ejecutar programas de trabajo</w:t>
            </w:r>
            <w:r w:rsidR="00B72E9C">
              <w:t xml:space="preserve"> del área al cual se encuentre adscrito</w:t>
            </w:r>
            <w:r w:rsidR="00B72E9C">
              <w:t>, así como instrumentar su aplicación y consolidar la información que al respecto se le solicite.</w:t>
            </w:r>
            <w:r w:rsidR="00EE28DB" w:rsidRPr="00E325BE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32260FB2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22668A5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72E9C">
              <w:rPr>
                <w:rFonts w:ascii="Arial" w:eastAsia="Calibri" w:hAnsi="Arial" w:cs="Arial"/>
                <w:sz w:val="20"/>
                <w:szCs w:val="20"/>
                <w:lang w:val="es-ES"/>
              </w:rPr>
              <w:t>Medi</w:t>
            </w:r>
            <w:r w:rsidR="0052515E" w:rsidRPr="00B72E9C">
              <w:rPr>
                <w:rFonts w:ascii="Arial" w:eastAsia="Calibri" w:hAnsi="Arial" w:cs="Arial"/>
                <w:sz w:val="20"/>
                <w:szCs w:val="20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72E9C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72E9C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Titulado o Certificado</w:t>
            </w:r>
            <w:bookmarkStart w:id="0" w:name="_GoBack"/>
            <w:bookmarkEnd w:id="0"/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9733BD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583C26C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lastRenderedPageBreak/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33944"/>
    <w:rsid w:val="00273836"/>
    <w:rsid w:val="002B6DC5"/>
    <w:rsid w:val="003A75E4"/>
    <w:rsid w:val="0052515E"/>
    <w:rsid w:val="00695F09"/>
    <w:rsid w:val="007459FF"/>
    <w:rsid w:val="007C3F5D"/>
    <w:rsid w:val="00875C3D"/>
    <w:rsid w:val="0089273B"/>
    <w:rsid w:val="008B4EDA"/>
    <w:rsid w:val="009131AD"/>
    <w:rsid w:val="00970C87"/>
    <w:rsid w:val="00A04B39"/>
    <w:rsid w:val="00A24065"/>
    <w:rsid w:val="00A24F73"/>
    <w:rsid w:val="00AE3250"/>
    <w:rsid w:val="00B54A1E"/>
    <w:rsid w:val="00B6750C"/>
    <w:rsid w:val="00B72E9C"/>
    <w:rsid w:val="00BE30DC"/>
    <w:rsid w:val="00BF647D"/>
    <w:rsid w:val="00C47A45"/>
    <w:rsid w:val="00D01F17"/>
    <w:rsid w:val="00D162B7"/>
    <w:rsid w:val="00D219D4"/>
    <w:rsid w:val="00E325BE"/>
    <w:rsid w:val="00E81890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E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3</cp:revision>
  <cp:lastPrinted>2019-04-04T01:10:00Z</cp:lastPrinted>
  <dcterms:created xsi:type="dcterms:W3CDTF">2019-09-09T19:10:00Z</dcterms:created>
  <dcterms:modified xsi:type="dcterms:W3CDTF">2019-09-09T19:14:00Z</dcterms:modified>
</cp:coreProperties>
</file>