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1F0" w14:textId="792F5CEA" w:rsidR="00ED44ED" w:rsidRPr="00B31BE4" w:rsidRDefault="00ED44ED" w:rsidP="00ED44ED">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C347BF">
        <w:rPr>
          <w:rFonts w:ascii="Arial" w:eastAsia="Arial" w:hAnsi="Arial" w:cs="Arial"/>
          <w:sz w:val="22"/>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35800E2E"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ED44ED">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57E7B5B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BD7BD3">
        <w:rPr>
          <w:rFonts w:ascii="Arial" w:hAnsi="Arial" w:cs="Arial"/>
          <w:sz w:val="23"/>
          <w:szCs w:val="23"/>
        </w:rPr>
        <w:t xml:space="preserve">Apoderado,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C347BF">
        <w:rPr>
          <w:rFonts w:ascii="Arial" w:eastAsia="Arial" w:hAnsi="Arial" w:cs="Arial"/>
          <w:sz w:val="22"/>
        </w:rPr>
        <w:t>(  )</w:t>
      </w:r>
      <w:proofErr w:type="gramEnd"/>
      <w:r w:rsidR="00C347BF">
        <w:rPr>
          <w:rFonts w:ascii="Arial" w:eastAsia="Arial" w:hAnsi="Arial" w:cs="Arial"/>
          <w:sz w:val="22"/>
        </w:rPr>
        <w:t xml:space="preserve">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4C344CA1"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C347BF">
        <w:rPr>
          <w:rFonts w:ascii="Arial" w:eastAsia="Arial" w:hAnsi="Arial" w:cs="Arial"/>
          <w:sz w:val="22"/>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C347BF">
        <w:rPr>
          <w:rFonts w:ascii="Arial" w:eastAsia="Arial" w:hAnsi="Arial" w:cs="Arial"/>
          <w:sz w:val="22"/>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6B0CAE0A"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C347BF">
        <w:rPr>
          <w:rFonts w:ascii="Arial" w:eastAsia="Arial" w:hAnsi="Arial" w:cs="Arial"/>
          <w:sz w:val="22"/>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49B19343"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347BF">
        <w:rPr>
          <w:rFonts w:ascii="Arial" w:eastAsia="Arial" w:hAnsi="Arial" w:cs="Arial"/>
          <w:sz w:val="22"/>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72CA8C1B"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347BF">
        <w:rPr>
          <w:rFonts w:ascii="Arial" w:eastAsia="Arial" w:hAnsi="Arial" w:cs="Arial"/>
          <w:sz w:val="22"/>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31D43B02"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347BF">
        <w:rPr>
          <w:rFonts w:ascii="Arial" w:eastAsia="Arial" w:hAnsi="Arial" w:cs="Arial"/>
          <w:sz w:val="22"/>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566E6F1D"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C347BF">
        <w:rPr>
          <w:rFonts w:ascii="Arial" w:eastAsia="Arial" w:hAnsi="Arial" w:cs="Arial"/>
          <w:sz w:val="22"/>
        </w:rPr>
        <w:t>(  )</w:t>
      </w:r>
      <w:proofErr w:type="gramEnd"/>
      <w:r w:rsidR="00C347BF">
        <w:rPr>
          <w:rFonts w:ascii="Arial" w:eastAsia="Arial" w:hAnsi="Arial" w:cs="Arial"/>
          <w:sz w:val="22"/>
        </w:rPr>
        <w:t xml:space="preserve"> </w:t>
      </w:r>
      <w:r w:rsidRPr="00B31BE4">
        <w:rPr>
          <w:rFonts w:ascii="Arial" w:hAnsi="Arial" w:cs="Arial"/>
          <w:sz w:val="23"/>
          <w:szCs w:val="23"/>
        </w:rPr>
        <w:t>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40F7E4E"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347BF">
        <w:rPr>
          <w:rFonts w:ascii="Arial" w:eastAsia="Arial" w:hAnsi="Arial" w:cs="Arial"/>
          <w:sz w:val="22"/>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56DD91A4"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C347BF">
        <w:rPr>
          <w:rFonts w:ascii="Arial" w:eastAsia="Arial" w:hAnsi="Arial" w:cs="Arial"/>
          <w:sz w:val="22"/>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3155D52F"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EA664D">
        <w:rPr>
          <w:rFonts w:ascii="Arial" w:eastAsia="Arial" w:hAnsi="Arial" w:cs="Arial"/>
          <w:sz w:val="22"/>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EA664D">
        <w:rPr>
          <w:rFonts w:ascii="Arial" w:eastAsia="Arial" w:hAnsi="Arial" w:cs="Arial"/>
          <w:sz w:val="22"/>
        </w:rPr>
        <w:t>(  )</w:t>
      </w:r>
      <w:r w:rsidR="00EA664D">
        <w:rPr>
          <w:rFonts w:ascii="Arial" w:eastAsia="Arial" w:hAnsi="Arial" w:cs="Arial"/>
          <w:sz w:val="22"/>
        </w:rPr>
        <w:t xml:space="preserve"> </w:t>
      </w:r>
      <w:r w:rsidR="00706AB0" w:rsidRPr="00B31BE4">
        <w:rPr>
          <w:rFonts w:ascii="Arial" w:hAnsi="Arial" w:cs="Arial"/>
          <w:sz w:val="23"/>
          <w:szCs w:val="23"/>
        </w:rPr>
        <w:t>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EA664D">
        <w:rPr>
          <w:rFonts w:ascii="Arial" w:eastAsia="Arial" w:hAnsi="Arial" w:cs="Arial"/>
          <w:sz w:val="22"/>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4F5310C5"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EA664D">
        <w:rPr>
          <w:rFonts w:ascii="Arial" w:eastAsia="Arial" w:hAnsi="Arial" w:cs="Arial"/>
          <w:sz w:val="22"/>
        </w:rPr>
        <w:t>(  )</w:t>
      </w:r>
      <w:proofErr w:type="gramEnd"/>
      <w:r w:rsidRPr="00B31BE4">
        <w:rPr>
          <w:rFonts w:ascii="Arial" w:hAnsi="Arial" w:cs="Arial"/>
          <w:sz w:val="23"/>
          <w:szCs w:val="23"/>
        </w:rPr>
        <w:t>.</w:t>
      </w:r>
    </w:p>
    <w:p w14:paraId="40B73014" w14:textId="77777777" w:rsidR="00EA664D" w:rsidRPr="00B31BE4" w:rsidRDefault="00EA664D"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38717C05"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B00E0F">
        <w:rPr>
          <w:rFonts w:ascii="Arial" w:hAnsi="Arial" w:cs="Arial"/>
          <w:sz w:val="23"/>
          <w:szCs w:val="23"/>
        </w:rPr>
        <w:t xml:space="preserve">23 de septiembre al 30 de septiembre </w:t>
      </w:r>
      <w:r w:rsidR="002434B5">
        <w:rPr>
          <w:rFonts w:ascii="Arial" w:hAnsi="Arial" w:cs="Arial"/>
          <w:sz w:val="23"/>
          <w:szCs w:val="23"/>
        </w:rPr>
        <w:t xml:space="preserve">de </w:t>
      </w:r>
      <w:r w:rsidR="00605D38">
        <w:rPr>
          <w:rFonts w:ascii="Arial" w:hAnsi="Arial" w:cs="Arial"/>
          <w:sz w:val="23"/>
          <w:szCs w:val="23"/>
        </w:rPr>
        <w:t>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18"/>
        <w:gridCol w:w="1814"/>
        <w:gridCol w:w="1320"/>
        <w:gridCol w:w="1456"/>
        <w:gridCol w:w="2801"/>
      </w:tblGrid>
      <w:tr w:rsidR="00AB363A" w:rsidRPr="00B31BE4" w14:paraId="2FAF71E4" w14:textId="77777777" w:rsidTr="00B00E0F">
        <w:tc>
          <w:tcPr>
            <w:tcW w:w="1818"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14"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20"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56"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01"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B00E0F">
        <w:tc>
          <w:tcPr>
            <w:tcW w:w="1818"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14" w:type="dxa"/>
          </w:tcPr>
          <w:p w14:paraId="5A138D30" w14:textId="64275344" w:rsidR="00852691" w:rsidRDefault="00852691" w:rsidP="00852691">
            <w:pPr>
              <w:jc w:val="center"/>
              <w:rPr>
                <w:rFonts w:ascii="Century Gothic" w:hAnsi="Century Gothic"/>
              </w:rPr>
            </w:pPr>
            <w:r>
              <w:rPr>
                <w:rFonts w:ascii="Century Gothic" w:hAnsi="Century Gothic"/>
              </w:rPr>
              <w:t>$</w:t>
            </w:r>
            <w:r w:rsidR="002434B5">
              <w:rPr>
                <w:rFonts w:ascii="Century Gothic" w:hAnsi="Century Gothic"/>
              </w:rPr>
              <w:t>13</w:t>
            </w:r>
            <w:r w:rsidR="00B00E0F">
              <w:rPr>
                <w:rFonts w:ascii="Century Gothic" w:hAnsi="Century Gothic"/>
              </w:rPr>
              <w:t>1,92</w:t>
            </w:r>
            <w:r w:rsidR="002434B5">
              <w:rPr>
                <w:rFonts w:ascii="Century Gothic" w:hAnsi="Century Gothic"/>
              </w:rPr>
              <w:t>0.00</w:t>
            </w:r>
          </w:p>
          <w:p w14:paraId="3B44DE34" w14:textId="38D81B7E" w:rsidR="00C5201A" w:rsidRPr="00B31BE4" w:rsidRDefault="00C5201A" w:rsidP="00852691">
            <w:pPr>
              <w:spacing w:before="240" w:line="240" w:lineRule="auto"/>
              <w:ind w:left="0" w:right="0" w:firstLine="0"/>
              <w:rPr>
                <w:rFonts w:ascii="Arial" w:hAnsi="Arial" w:cs="Arial"/>
                <w:sz w:val="23"/>
                <w:szCs w:val="23"/>
              </w:rPr>
            </w:pPr>
          </w:p>
        </w:tc>
        <w:tc>
          <w:tcPr>
            <w:tcW w:w="1320"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val="restart"/>
          </w:tcPr>
          <w:p w14:paraId="5F941E6B" w14:textId="77777777" w:rsidR="00167754" w:rsidRDefault="00167754" w:rsidP="00167754">
            <w:pPr>
              <w:jc w:val="center"/>
              <w:rPr>
                <w:rFonts w:ascii="Arial" w:hAnsi="Arial" w:cs="Arial"/>
                <w:b/>
                <w:sz w:val="23"/>
                <w:szCs w:val="23"/>
              </w:rPr>
            </w:pPr>
          </w:p>
          <w:p w14:paraId="51E01CC4" w14:textId="77777777" w:rsidR="00B00E0F" w:rsidRDefault="00BD7BD3" w:rsidP="00B00E0F">
            <w:pPr>
              <w:jc w:val="center"/>
              <w:rPr>
                <w:rFonts w:ascii="Century Gothic" w:hAnsi="Century Gothic"/>
                <w:b/>
                <w:sz w:val="22"/>
              </w:rPr>
            </w:pPr>
            <w:r w:rsidRPr="009F52E1">
              <w:rPr>
                <w:rFonts w:ascii="Century Gothic" w:hAnsi="Century Gothic"/>
                <w:b/>
                <w:sz w:val="22"/>
              </w:rPr>
              <w:t>$</w:t>
            </w:r>
            <w:r w:rsidR="00B00E0F">
              <w:rPr>
                <w:rFonts w:ascii="Century Gothic" w:hAnsi="Century Gothic"/>
                <w:b/>
                <w:sz w:val="22"/>
              </w:rPr>
              <w:t>133,756.33</w:t>
            </w:r>
          </w:p>
          <w:p w14:paraId="3F8D0791" w14:textId="6A9FD603" w:rsidR="00C5201A" w:rsidRPr="00B00E0F" w:rsidRDefault="00B00E0F" w:rsidP="00B00E0F">
            <w:pPr>
              <w:jc w:val="center"/>
              <w:rPr>
                <w:rFonts w:ascii="Century Gothic" w:hAnsi="Century Gothic"/>
                <w:b/>
                <w:sz w:val="22"/>
              </w:rPr>
            </w:pPr>
            <w:r>
              <w:rPr>
                <w:rFonts w:ascii="Century Gothic" w:hAnsi="Century Gothic"/>
                <w:b/>
                <w:sz w:val="22"/>
              </w:rPr>
              <w:t xml:space="preserve"> (CIENTO </w:t>
            </w:r>
            <w:r w:rsidR="00BD7BD3">
              <w:rPr>
                <w:rFonts w:ascii="Century Gothic" w:hAnsi="Century Gothic"/>
                <w:b/>
                <w:sz w:val="22"/>
              </w:rPr>
              <w:t xml:space="preserve">TREINTA Y </w:t>
            </w:r>
            <w:r>
              <w:rPr>
                <w:rFonts w:ascii="Century Gothic" w:hAnsi="Century Gothic"/>
                <w:b/>
                <w:sz w:val="22"/>
              </w:rPr>
              <w:t>TRES</w:t>
            </w:r>
            <w:r w:rsidR="00BD7BD3">
              <w:rPr>
                <w:rFonts w:ascii="Century Gothic" w:hAnsi="Century Gothic"/>
                <w:b/>
                <w:sz w:val="22"/>
              </w:rPr>
              <w:t xml:space="preserve"> MIL SETECIENTOS</w:t>
            </w:r>
            <w:r>
              <w:rPr>
                <w:rFonts w:ascii="Century Gothic" w:hAnsi="Century Gothic"/>
                <w:b/>
                <w:sz w:val="22"/>
              </w:rPr>
              <w:t xml:space="preserve"> CINCUENTA Y SEIS PESOS 33</w:t>
            </w:r>
            <w:r w:rsidR="00BD7BD3" w:rsidRPr="009F52E1">
              <w:rPr>
                <w:rFonts w:ascii="Century Gothic" w:hAnsi="Century Gothic"/>
                <w:b/>
                <w:sz w:val="22"/>
              </w:rPr>
              <w:t>/100 M.N.)</w:t>
            </w:r>
          </w:p>
        </w:tc>
      </w:tr>
      <w:tr w:rsidR="00C5201A" w:rsidRPr="00B31BE4" w14:paraId="5D7F3967" w14:textId="77777777" w:rsidTr="00B00E0F">
        <w:tc>
          <w:tcPr>
            <w:tcW w:w="1818"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14"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0B81E08B" w:rsidR="00C5201A" w:rsidRPr="00167754" w:rsidRDefault="00167754" w:rsidP="00B00E0F">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2434B5">
              <w:rPr>
                <w:rFonts w:ascii="Century Gothic" w:eastAsiaTheme="minorHAnsi" w:hAnsi="Century Gothic" w:cstheme="minorBidi"/>
                <w:color w:val="auto"/>
                <w:sz w:val="22"/>
                <w:lang w:eastAsia="en-US"/>
              </w:rPr>
              <w:t>1,</w:t>
            </w:r>
            <w:r w:rsidR="00B00E0F">
              <w:rPr>
                <w:rFonts w:ascii="Century Gothic" w:eastAsiaTheme="minorHAnsi" w:hAnsi="Century Gothic" w:cstheme="minorBidi"/>
                <w:color w:val="auto"/>
                <w:sz w:val="22"/>
                <w:lang w:eastAsia="en-US"/>
              </w:rPr>
              <w:t>583</w:t>
            </w:r>
            <w:r w:rsidR="002434B5">
              <w:rPr>
                <w:rFonts w:ascii="Century Gothic" w:eastAsiaTheme="minorHAnsi" w:hAnsi="Century Gothic" w:cstheme="minorBidi"/>
                <w:color w:val="auto"/>
                <w:sz w:val="22"/>
                <w:lang w:eastAsia="en-US"/>
              </w:rPr>
              <w:t>.</w:t>
            </w:r>
            <w:r w:rsidR="00B00E0F">
              <w:rPr>
                <w:rFonts w:ascii="Century Gothic" w:eastAsiaTheme="minorHAnsi" w:hAnsi="Century Gothic" w:cstheme="minorBidi"/>
                <w:color w:val="auto"/>
                <w:sz w:val="22"/>
                <w:lang w:eastAsia="en-US"/>
              </w:rPr>
              <w:t>04</w:t>
            </w:r>
          </w:p>
        </w:tc>
        <w:tc>
          <w:tcPr>
            <w:tcW w:w="1320"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56"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104ABD0F" w:rsidR="00C5201A" w:rsidRPr="00167754" w:rsidRDefault="00167754" w:rsidP="00B00E0F">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2434B5">
              <w:rPr>
                <w:rFonts w:ascii="Century Gothic" w:eastAsiaTheme="minorHAnsi" w:hAnsi="Century Gothic" w:cstheme="minorBidi"/>
                <w:color w:val="auto"/>
                <w:sz w:val="22"/>
                <w:lang w:eastAsia="en-US"/>
              </w:rPr>
              <w:t>25</w:t>
            </w:r>
            <w:r w:rsidR="00B00E0F">
              <w:rPr>
                <w:rFonts w:ascii="Century Gothic" w:eastAsiaTheme="minorHAnsi" w:hAnsi="Century Gothic" w:cstheme="minorBidi"/>
                <w:color w:val="auto"/>
                <w:sz w:val="22"/>
                <w:lang w:eastAsia="en-US"/>
              </w:rPr>
              <w:t>3.29</w:t>
            </w:r>
          </w:p>
        </w:tc>
        <w:tc>
          <w:tcPr>
            <w:tcW w:w="2801"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B00E0F">
        <w:tc>
          <w:tcPr>
            <w:tcW w:w="1818"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14"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20"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74074267"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B00E0F">
        <w:rPr>
          <w:rFonts w:ascii="Arial" w:hAnsi="Arial" w:cs="Arial"/>
          <w:sz w:val="23"/>
          <w:szCs w:val="23"/>
        </w:rPr>
        <w:t xml:space="preserve">23 de septiembre </w:t>
      </w:r>
      <w:r w:rsidR="002434B5">
        <w:rPr>
          <w:rFonts w:ascii="Arial" w:hAnsi="Arial" w:cs="Arial"/>
          <w:sz w:val="23"/>
          <w:szCs w:val="23"/>
        </w:rPr>
        <w:t xml:space="preserve">de </w:t>
      </w:r>
      <w:r w:rsidR="00BF55CC" w:rsidRPr="00B31BE4">
        <w:rPr>
          <w:rFonts w:ascii="Arial" w:hAnsi="Arial" w:cs="Arial"/>
          <w:sz w:val="23"/>
          <w:szCs w:val="23"/>
        </w:rPr>
        <w:t>202</w:t>
      </w:r>
      <w:r w:rsidR="00C5201A" w:rsidRPr="00B31BE4">
        <w:rPr>
          <w:rFonts w:ascii="Arial" w:hAnsi="Arial" w:cs="Arial"/>
          <w:sz w:val="23"/>
          <w:szCs w:val="23"/>
        </w:rPr>
        <w:t>2</w:t>
      </w:r>
      <w:r w:rsidR="00BF55CC" w:rsidRPr="00B31BE4">
        <w:rPr>
          <w:rFonts w:ascii="Arial" w:hAnsi="Arial" w:cs="Arial"/>
          <w:sz w:val="23"/>
          <w:szCs w:val="23"/>
        </w:rPr>
        <w:t>.</w:t>
      </w:r>
    </w:p>
    <w:p w14:paraId="3288ADC4" w14:textId="7F88D0E2"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EA664D">
        <w:rPr>
          <w:rFonts w:ascii="Arial" w:eastAsia="Arial" w:hAnsi="Arial" w:cs="Arial"/>
          <w:sz w:val="22"/>
        </w:rPr>
        <w:t>(  )</w:t>
      </w:r>
      <w:proofErr w:type="gramEnd"/>
      <w:r w:rsidR="00C5201A" w:rsidRPr="00B31BE4">
        <w:rPr>
          <w:rFonts w:ascii="Arial" w:hAnsi="Arial" w:cs="Arial"/>
          <w:sz w:val="23"/>
          <w:szCs w:val="23"/>
        </w:rPr>
        <w:t xml:space="preserve"> con la referencia </w:t>
      </w:r>
      <w:r w:rsidR="00EA664D">
        <w:rPr>
          <w:rFonts w:ascii="Arial" w:eastAsia="Arial" w:hAnsi="Arial" w:cs="Arial"/>
          <w:sz w:val="22"/>
        </w:rPr>
        <w:t>(  )</w:t>
      </w:r>
      <w:r w:rsidR="00C5201A" w:rsidRPr="00B31BE4">
        <w:rPr>
          <w:rFonts w:ascii="Arial" w:hAnsi="Arial" w:cs="Arial"/>
          <w:sz w:val="23"/>
          <w:szCs w:val="23"/>
        </w:rPr>
        <w:t xml:space="preserve"> de la Institución Financiera </w:t>
      </w:r>
      <w:r w:rsidR="00EA664D">
        <w:rPr>
          <w:rFonts w:ascii="Arial" w:eastAsia="Arial" w:hAnsi="Arial" w:cs="Arial"/>
          <w:sz w:val="22"/>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550F9138" w:rsidR="00A137CB" w:rsidRPr="00B31BE4" w:rsidRDefault="002072AB"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67CFC51E" w14:textId="77777777" w:rsidR="007D6485" w:rsidRPr="00B31BE4" w:rsidRDefault="007D6485" w:rsidP="00884513">
      <w:pPr>
        <w:spacing w:before="240" w:line="240" w:lineRule="auto"/>
        <w:ind w:left="0" w:right="0"/>
        <w:rPr>
          <w:rFonts w:ascii="Arial" w:hAnsi="Arial" w:cs="Arial"/>
          <w:sz w:val="23"/>
          <w:szCs w:val="23"/>
        </w:rPr>
      </w:pP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566A027F"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2072AB"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3741DB27" w:rsidR="00956E8B" w:rsidRPr="00B31BE4" w:rsidRDefault="002072AB"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 xml:space="preserve">como </w:t>
      </w:r>
      <w:proofErr w:type="gramStart"/>
      <w:r w:rsidR="00867222" w:rsidRPr="00B31BE4">
        <w:rPr>
          <w:rFonts w:ascii="Arial" w:hAnsi="Arial" w:cs="Arial"/>
          <w:sz w:val="23"/>
          <w:szCs w:val="23"/>
        </w:rPr>
        <w:t>mal ejecutados</w:t>
      </w:r>
      <w:proofErr w:type="gramEnd"/>
      <w:r w:rsidR="00867222" w:rsidRPr="00B31BE4">
        <w:rPr>
          <w:rFonts w:ascii="Arial" w:hAnsi="Arial" w:cs="Arial"/>
          <w:sz w:val="23"/>
          <w:szCs w:val="23"/>
        </w:rPr>
        <w:t>.</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24C97092"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62372D"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5385CD21"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B00E0F">
        <w:rPr>
          <w:rFonts w:ascii="Arial" w:hAnsi="Arial" w:cs="Arial"/>
          <w:sz w:val="23"/>
          <w:szCs w:val="23"/>
        </w:rPr>
        <w:t xml:space="preserve">23 de septiembre </w:t>
      </w:r>
      <w:r w:rsidR="007D6485" w:rsidRPr="00B31BE4">
        <w:rPr>
          <w:rFonts w:ascii="Arial" w:hAnsi="Arial" w:cs="Arial"/>
          <w:sz w:val="23"/>
          <w:szCs w:val="23"/>
        </w:rPr>
        <w:t>de</w:t>
      </w:r>
      <w:r w:rsidR="002B2093" w:rsidRPr="00B31BE4">
        <w:rPr>
          <w:rFonts w:ascii="Arial" w:hAnsi="Arial" w:cs="Arial"/>
          <w:sz w:val="23"/>
          <w:szCs w:val="23"/>
        </w:rPr>
        <w:t xml:space="preserv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ED44ED" w:rsidRPr="00B31BE4" w14:paraId="3F54F9D8" w14:textId="77777777" w:rsidTr="00ED44ED">
        <w:trPr>
          <w:gridAfter w:val="1"/>
          <w:wAfter w:w="9102" w:type="dxa"/>
        </w:trPr>
        <w:tc>
          <w:tcPr>
            <w:tcW w:w="4550" w:type="dxa"/>
          </w:tcPr>
          <w:p w14:paraId="403CCA33"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7725D54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173DAF7" w14:textId="77777777" w:rsidR="00ED44ED" w:rsidRPr="00B31BE4" w:rsidRDefault="00ED44ED" w:rsidP="00ED44ED">
            <w:pPr>
              <w:spacing w:before="240" w:line="240" w:lineRule="auto"/>
              <w:ind w:left="0" w:right="0" w:firstLine="0"/>
              <w:jc w:val="center"/>
              <w:rPr>
                <w:rFonts w:ascii="Arial" w:hAnsi="Arial" w:cs="Arial"/>
                <w:sz w:val="23"/>
                <w:szCs w:val="23"/>
              </w:rPr>
            </w:pPr>
          </w:p>
          <w:p w14:paraId="54A3E502"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E956F2C"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6B06A6EE" w14:textId="35D6AA13"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0" w:type="dxa"/>
          </w:tcPr>
          <w:p w14:paraId="0747727F" w14:textId="77777777" w:rsidR="00ED44ED" w:rsidRPr="00B31BE4" w:rsidRDefault="00ED44ED" w:rsidP="00ED44E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B003293" w14:textId="77777777" w:rsidR="00ED44ED" w:rsidRPr="00B31BE4" w:rsidRDefault="00ED44ED" w:rsidP="00ED44ED">
            <w:pPr>
              <w:spacing w:before="240" w:line="240" w:lineRule="auto"/>
              <w:ind w:left="0" w:right="0" w:firstLine="0"/>
              <w:jc w:val="center"/>
              <w:rPr>
                <w:rFonts w:ascii="Arial" w:hAnsi="Arial" w:cs="Arial"/>
                <w:sz w:val="23"/>
                <w:szCs w:val="23"/>
              </w:rPr>
            </w:pPr>
          </w:p>
          <w:p w14:paraId="31A1135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B6F8D3B"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189D2BF" w14:textId="45AF4541"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EA664D">
              <w:rPr>
                <w:rFonts w:ascii="Arial" w:eastAsia="Arial" w:hAnsi="Arial" w:cs="Arial"/>
                <w:sz w:val="22"/>
              </w:rPr>
              <w:t>(  )</w:t>
            </w:r>
          </w:p>
          <w:p w14:paraId="793EED1F" w14:textId="2F66B9B6"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50" w:type="dxa"/>
          </w:tcPr>
          <w:p w14:paraId="5F951F93" w14:textId="0BD7A5F7" w:rsidR="00ED44ED" w:rsidRPr="00B31BE4" w:rsidRDefault="00ED44ED" w:rsidP="00ED44ED">
            <w:pPr>
              <w:spacing w:before="240" w:line="240" w:lineRule="auto"/>
              <w:ind w:left="0" w:right="0" w:firstLine="0"/>
              <w:jc w:val="center"/>
              <w:rPr>
                <w:rFonts w:ascii="Arial" w:hAnsi="Arial" w:cs="Arial"/>
                <w:b/>
                <w:sz w:val="23"/>
                <w:szCs w:val="23"/>
              </w:rPr>
            </w:pPr>
          </w:p>
        </w:tc>
        <w:tc>
          <w:tcPr>
            <w:tcW w:w="4551" w:type="dxa"/>
          </w:tcPr>
          <w:p w14:paraId="1BEBC799" w14:textId="25A877AB" w:rsidR="00ED44ED" w:rsidRPr="00B31BE4" w:rsidRDefault="00ED44ED" w:rsidP="00ED44ED">
            <w:pPr>
              <w:spacing w:before="240" w:line="240" w:lineRule="auto"/>
              <w:ind w:left="0" w:right="0" w:firstLine="0"/>
              <w:jc w:val="center"/>
              <w:rPr>
                <w:rFonts w:ascii="Arial" w:hAnsi="Arial" w:cs="Arial"/>
                <w:b/>
                <w:sz w:val="23"/>
                <w:szCs w:val="23"/>
              </w:rPr>
            </w:pPr>
          </w:p>
        </w:tc>
      </w:tr>
      <w:tr w:rsidR="00ED44ED" w:rsidRPr="00B31BE4" w14:paraId="27989BDF" w14:textId="77777777" w:rsidTr="00ED44ED">
        <w:tc>
          <w:tcPr>
            <w:tcW w:w="9101" w:type="dxa"/>
            <w:gridSpan w:val="2"/>
          </w:tcPr>
          <w:p w14:paraId="12EF4A2B"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0FD1F4E"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9A691FC"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563B2F30"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78E2416" w14:textId="77777777" w:rsidR="00ED44ED" w:rsidRPr="00B31BE4" w:rsidRDefault="00ED44ED" w:rsidP="00ED44ED">
            <w:pPr>
              <w:spacing w:before="240" w:line="240" w:lineRule="auto"/>
              <w:ind w:left="0" w:right="0" w:firstLine="0"/>
              <w:jc w:val="center"/>
              <w:rPr>
                <w:rFonts w:ascii="Arial" w:hAnsi="Arial" w:cs="Arial"/>
                <w:sz w:val="23"/>
                <w:szCs w:val="23"/>
              </w:rPr>
            </w:pPr>
          </w:p>
          <w:p w14:paraId="630B217A" w14:textId="77777777" w:rsidR="00ED44ED" w:rsidRPr="00B31BE4" w:rsidRDefault="00ED44ED" w:rsidP="00ED44ED">
            <w:pPr>
              <w:spacing w:before="240" w:line="240" w:lineRule="auto"/>
              <w:ind w:left="0" w:right="0" w:firstLine="0"/>
              <w:jc w:val="center"/>
              <w:rPr>
                <w:rFonts w:ascii="Arial" w:hAnsi="Arial" w:cs="Arial"/>
                <w:sz w:val="23"/>
                <w:szCs w:val="23"/>
              </w:rPr>
            </w:pPr>
          </w:p>
          <w:p w14:paraId="3D103C15"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2DDC7A6"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08587923" w14:textId="0140F2DE" w:rsidR="00ED44ED" w:rsidRPr="00B31BE4" w:rsidRDefault="00ED44ED" w:rsidP="00ED44ED">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101" w:type="dxa"/>
            <w:gridSpan w:val="2"/>
          </w:tcPr>
          <w:p w14:paraId="452BF188" w14:textId="77777777" w:rsidR="00ED44ED" w:rsidRPr="00B31BE4" w:rsidRDefault="00ED44ED" w:rsidP="00ED44ED">
            <w:pPr>
              <w:spacing w:before="240" w:line="240" w:lineRule="auto"/>
              <w:ind w:left="0" w:right="0" w:firstLine="0"/>
              <w:jc w:val="center"/>
              <w:rPr>
                <w:rFonts w:ascii="Arial" w:hAnsi="Arial" w:cs="Arial"/>
                <w:b/>
                <w:sz w:val="23"/>
                <w:szCs w:val="23"/>
              </w:rPr>
            </w:pPr>
          </w:p>
        </w:tc>
        <w:tc>
          <w:tcPr>
            <w:tcW w:w="9101" w:type="dxa"/>
          </w:tcPr>
          <w:p w14:paraId="1F58AAAE" w14:textId="7E1BB76B" w:rsidR="00ED44ED" w:rsidRPr="00B31BE4" w:rsidRDefault="00ED44ED" w:rsidP="00ED44ED">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D568" w14:textId="77777777" w:rsidR="00C0324B" w:rsidRDefault="00C0324B">
      <w:pPr>
        <w:spacing w:after="0" w:line="240" w:lineRule="auto"/>
      </w:pPr>
      <w:r>
        <w:separator/>
      </w:r>
    </w:p>
  </w:endnote>
  <w:endnote w:type="continuationSeparator" w:id="0">
    <w:p w14:paraId="53D3CBBC" w14:textId="77777777" w:rsidR="00C0324B" w:rsidRDefault="00C0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0451BD1B"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B00E0F">
      <w:rPr>
        <w:rFonts w:ascii="Arial" w:hAnsi="Arial" w:cs="Arial"/>
        <w:noProof/>
        <w:sz w:val="20"/>
        <w:szCs w:val="20"/>
      </w:rPr>
      <w:t>5</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4AF0FAFF"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B00E0F" w:rsidRPr="00B00E0F">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BCE0" w14:textId="77777777" w:rsidR="00C0324B" w:rsidRDefault="00C0324B">
      <w:pPr>
        <w:spacing w:after="0" w:line="240" w:lineRule="auto"/>
      </w:pPr>
      <w:r>
        <w:separator/>
      </w:r>
    </w:p>
  </w:footnote>
  <w:footnote w:type="continuationSeparator" w:id="0">
    <w:p w14:paraId="455DC082" w14:textId="77777777" w:rsidR="00C0324B" w:rsidRDefault="00C0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3AC509C5"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B00E0F">
      <w:rPr>
        <w:rFonts w:ascii="Arial" w:hAnsi="Arial" w:cs="Arial"/>
        <w:b/>
        <w:sz w:val="24"/>
        <w:szCs w:val="24"/>
      </w:rPr>
      <w:t>225</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676189EF"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B00E0F">
      <w:rPr>
        <w:rFonts w:ascii="Arial" w:hAnsi="Arial" w:cs="Arial"/>
        <w:b/>
        <w:sz w:val="20"/>
        <w:szCs w:val="20"/>
      </w:rPr>
      <w:t>225</w:t>
    </w:r>
    <w:r w:rsidR="00456FDD">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42900"/>
    <w:rsid w:val="00061600"/>
    <w:rsid w:val="00074AE6"/>
    <w:rsid w:val="00083176"/>
    <w:rsid w:val="000A40EF"/>
    <w:rsid w:val="000D5B71"/>
    <w:rsid w:val="000E5364"/>
    <w:rsid w:val="000F2C11"/>
    <w:rsid w:val="00111657"/>
    <w:rsid w:val="00112446"/>
    <w:rsid w:val="00136B57"/>
    <w:rsid w:val="00144B79"/>
    <w:rsid w:val="00167754"/>
    <w:rsid w:val="001A26DC"/>
    <w:rsid w:val="001B36C0"/>
    <w:rsid w:val="001B5946"/>
    <w:rsid w:val="001C417B"/>
    <w:rsid w:val="001C4410"/>
    <w:rsid w:val="001C5AF9"/>
    <w:rsid w:val="001E11EB"/>
    <w:rsid w:val="001E33CD"/>
    <w:rsid w:val="001E4A8A"/>
    <w:rsid w:val="001F2318"/>
    <w:rsid w:val="002072AB"/>
    <w:rsid w:val="00210037"/>
    <w:rsid w:val="002134B4"/>
    <w:rsid w:val="002434B5"/>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72B53"/>
    <w:rsid w:val="003970EF"/>
    <w:rsid w:val="003B7773"/>
    <w:rsid w:val="003C3534"/>
    <w:rsid w:val="003D1650"/>
    <w:rsid w:val="003E0B83"/>
    <w:rsid w:val="003E5431"/>
    <w:rsid w:val="00410BB1"/>
    <w:rsid w:val="0042112F"/>
    <w:rsid w:val="00442C7A"/>
    <w:rsid w:val="00442F93"/>
    <w:rsid w:val="00445B3A"/>
    <w:rsid w:val="00447D56"/>
    <w:rsid w:val="00456FDD"/>
    <w:rsid w:val="00471C4E"/>
    <w:rsid w:val="00471DFD"/>
    <w:rsid w:val="00481B62"/>
    <w:rsid w:val="00490BB7"/>
    <w:rsid w:val="00496461"/>
    <w:rsid w:val="004A798B"/>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50052"/>
    <w:rsid w:val="005608BC"/>
    <w:rsid w:val="00573017"/>
    <w:rsid w:val="0057633B"/>
    <w:rsid w:val="00583B81"/>
    <w:rsid w:val="00583D0F"/>
    <w:rsid w:val="005A096D"/>
    <w:rsid w:val="005A3212"/>
    <w:rsid w:val="005C2AA8"/>
    <w:rsid w:val="005C57D3"/>
    <w:rsid w:val="005E0FC5"/>
    <w:rsid w:val="005E25C6"/>
    <w:rsid w:val="005E6142"/>
    <w:rsid w:val="005F5F13"/>
    <w:rsid w:val="00605D38"/>
    <w:rsid w:val="0062372D"/>
    <w:rsid w:val="00624D02"/>
    <w:rsid w:val="00630116"/>
    <w:rsid w:val="00633AEF"/>
    <w:rsid w:val="006554C7"/>
    <w:rsid w:val="00687B37"/>
    <w:rsid w:val="00695732"/>
    <w:rsid w:val="006B41C0"/>
    <w:rsid w:val="006F5554"/>
    <w:rsid w:val="00703085"/>
    <w:rsid w:val="00706AB0"/>
    <w:rsid w:val="00726C49"/>
    <w:rsid w:val="00734FDA"/>
    <w:rsid w:val="00735756"/>
    <w:rsid w:val="007725D5"/>
    <w:rsid w:val="00794641"/>
    <w:rsid w:val="007C319B"/>
    <w:rsid w:val="007D6485"/>
    <w:rsid w:val="00820020"/>
    <w:rsid w:val="00822D6A"/>
    <w:rsid w:val="00852691"/>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8E4D3E"/>
    <w:rsid w:val="00911B1C"/>
    <w:rsid w:val="00927FA8"/>
    <w:rsid w:val="00947063"/>
    <w:rsid w:val="00947FBA"/>
    <w:rsid w:val="00956E8B"/>
    <w:rsid w:val="0097302C"/>
    <w:rsid w:val="009C183F"/>
    <w:rsid w:val="009C7804"/>
    <w:rsid w:val="009D3E4D"/>
    <w:rsid w:val="009E3426"/>
    <w:rsid w:val="009E7A87"/>
    <w:rsid w:val="009F29DA"/>
    <w:rsid w:val="009F2F42"/>
    <w:rsid w:val="009F52E1"/>
    <w:rsid w:val="009F765C"/>
    <w:rsid w:val="00A137CB"/>
    <w:rsid w:val="00A2054D"/>
    <w:rsid w:val="00A3612D"/>
    <w:rsid w:val="00A446DA"/>
    <w:rsid w:val="00A45F69"/>
    <w:rsid w:val="00A63D3C"/>
    <w:rsid w:val="00A838F4"/>
    <w:rsid w:val="00A97FE9"/>
    <w:rsid w:val="00AB363A"/>
    <w:rsid w:val="00AC30B4"/>
    <w:rsid w:val="00AC5307"/>
    <w:rsid w:val="00AE1E32"/>
    <w:rsid w:val="00AF73F7"/>
    <w:rsid w:val="00B00E0F"/>
    <w:rsid w:val="00B05F1E"/>
    <w:rsid w:val="00B07A80"/>
    <w:rsid w:val="00B136B4"/>
    <w:rsid w:val="00B14933"/>
    <w:rsid w:val="00B25A75"/>
    <w:rsid w:val="00B26F67"/>
    <w:rsid w:val="00B31BE4"/>
    <w:rsid w:val="00B33552"/>
    <w:rsid w:val="00B44115"/>
    <w:rsid w:val="00B47919"/>
    <w:rsid w:val="00B70481"/>
    <w:rsid w:val="00B7124C"/>
    <w:rsid w:val="00BB64B3"/>
    <w:rsid w:val="00BD7BD3"/>
    <w:rsid w:val="00BE5499"/>
    <w:rsid w:val="00BF159E"/>
    <w:rsid w:val="00BF55CC"/>
    <w:rsid w:val="00C0324B"/>
    <w:rsid w:val="00C07998"/>
    <w:rsid w:val="00C10B0F"/>
    <w:rsid w:val="00C317E5"/>
    <w:rsid w:val="00C32B4C"/>
    <w:rsid w:val="00C3395C"/>
    <w:rsid w:val="00C347BF"/>
    <w:rsid w:val="00C5201A"/>
    <w:rsid w:val="00C62971"/>
    <w:rsid w:val="00C842DE"/>
    <w:rsid w:val="00C9683B"/>
    <w:rsid w:val="00C9750B"/>
    <w:rsid w:val="00CD2E08"/>
    <w:rsid w:val="00CF58E1"/>
    <w:rsid w:val="00D16887"/>
    <w:rsid w:val="00D27332"/>
    <w:rsid w:val="00D3227B"/>
    <w:rsid w:val="00D33854"/>
    <w:rsid w:val="00D67DEF"/>
    <w:rsid w:val="00D92FD5"/>
    <w:rsid w:val="00DA0C24"/>
    <w:rsid w:val="00DC162D"/>
    <w:rsid w:val="00DD1466"/>
    <w:rsid w:val="00DE3C48"/>
    <w:rsid w:val="00E076FD"/>
    <w:rsid w:val="00E343CE"/>
    <w:rsid w:val="00E855E2"/>
    <w:rsid w:val="00E97F20"/>
    <w:rsid w:val="00EA1D2E"/>
    <w:rsid w:val="00EA4359"/>
    <w:rsid w:val="00EA664D"/>
    <w:rsid w:val="00EC4E07"/>
    <w:rsid w:val="00ED44ED"/>
    <w:rsid w:val="00F04080"/>
    <w:rsid w:val="00F17C23"/>
    <w:rsid w:val="00F237AA"/>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3207</Words>
  <Characters>17642</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2022-08-26T19:23:00Z</cp:lastPrinted>
  <dcterms:created xsi:type="dcterms:W3CDTF">2022-10-07T00:03:00Z</dcterms:created>
  <dcterms:modified xsi:type="dcterms:W3CDTF">2022-10-07T00:03:00Z</dcterms:modified>
</cp:coreProperties>
</file>